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DC52A2">
        <w:rPr>
          <w:rFonts w:cs="Arial"/>
          <w:b/>
          <w:sz w:val="22"/>
          <w:szCs w:val="22"/>
        </w:rPr>
        <w:t>MAY</w:t>
      </w:r>
      <w:r w:rsidR="00CD191A">
        <w:rPr>
          <w:rFonts w:cs="Arial"/>
          <w:b/>
          <w:sz w:val="22"/>
          <w:szCs w:val="22"/>
        </w:rPr>
        <w:t xml:space="preserve"> 2</w:t>
      </w:r>
      <w:r w:rsidR="00DC52A2">
        <w:rPr>
          <w:rFonts w:cs="Arial"/>
          <w:b/>
          <w:sz w:val="22"/>
          <w:szCs w:val="22"/>
        </w:rPr>
        <w:t>2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DC52A2" w:rsidRPr="005845CA" w:rsidRDefault="00DC52A2" w:rsidP="00DC52A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5845CA">
        <w:rPr>
          <w:rFonts w:cs="Arial"/>
          <w:b/>
          <w:sz w:val="22"/>
          <w:szCs w:val="22"/>
        </w:rPr>
        <w:t>CITY HALL ANNEX, ROOM 20, 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4F249A" w:rsidRDefault="00DC52A2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24</w:t>
      </w:r>
      <w:r w:rsidR="00A54808">
        <w:rPr>
          <w:rFonts w:cs="Arial"/>
          <w:sz w:val="22"/>
          <w:szCs w:val="22"/>
        </w:rPr>
        <w:t xml:space="preserve">, </w:t>
      </w:r>
      <w:r w:rsidR="00F524B0">
        <w:rPr>
          <w:rFonts w:cs="Arial"/>
          <w:sz w:val="22"/>
          <w:szCs w:val="22"/>
        </w:rPr>
        <w:t>2014</w:t>
      </w:r>
      <w:r w:rsidR="004F249A">
        <w:rPr>
          <w:rFonts w:cs="Arial"/>
          <w:sz w:val="22"/>
          <w:szCs w:val="22"/>
        </w:rPr>
        <w:t xml:space="preserve"> </w:t>
      </w:r>
      <w:r w:rsidR="00FE4EF6">
        <w:rPr>
          <w:rFonts w:cs="Arial"/>
          <w:sz w:val="22"/>
          <w:szCs w:val="22"/>
        </w:rPr>
        <w:t xml:space="preserve">Regular </w:t>
      </w:r>
      <w:r w:rsidR="004F249A">
        <w:rPr>
          <w:rFonts w:cs="Arial"/>
          <w:sz w:val="22"/>
          <w:szCs w:val="22"/>
        </w:rPr>
        <w:t>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8D122B" w:rsidRPr="00445171">
        <w:rPr>
          <w:rFonts w:cs="Arial"/>
          <w:b/>
          <w:sz w:val="22"/>
          <w:szCs w:val="22"/>
        </w:rPr>
        <w:t>Keith Reynolds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9E59F0" w:rsidRDefault="009E59F0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0" w:name="OLE_LINK3"/>
      <w:r>
        <w:rPr>
          <w:rFonts w:cs="Arial"/>
          <w:sz w:val="22"/>
          <w:szCs w:val="22"/>
        </w:rPr>
        <w:t xml:space="preserve">Presentation by Christopher </w:t>
      </w:r>
      <w:proofErr w:type="spellStart"/>
      <w:r>
        <w:rPr>
          <w:rFonts w:cs="Arial"/>
          <w:sz w:val="22"/>
          <w:szCs w:val="22"/>
        </w:rPr>
        <w:t>Premo</w:t>
      </w:r>
      <w:r w:rsidR="00583C04">
        <w:rPr>
          <w:rFonts w:cs="Arial"/>
          <w:sz w:val="22"/>
          <w:szCs w:val="22"/>
        </w:rPr>
        <w:t>ck</w:t>
      </w:r>
      <w:proofErr w:type="spellEnd"/>
      <w:r>
        <w:rPr>
          <w:rFonts w:cs="Arial"/>
          <w:sz w:val="22"/>
          <w:szCs w:val="22"/>
        </w:rPr>
        <w:t>, Frontier Capital Management</w:t>
      </w:r>
    </w:p>
    <w:p w:rsidR="009E59F0" w:rsidRDefault="009E59F0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Presentation by Tracy Musser, Thompson Sieg</w:t>
      </w:r>
      <w:r w:rsidR="00FF6FF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l &amp; </w:t>
      </w:r>
      <w:proofErr w:type="spellStart"/>
      <w:r>
        <w:rPr>
          <w:rFonts w:cs="Arial"/>
          <w:sz w:val="22"/>
          <w:szCs w:val="22"/>
        </w:rPr>
        <w:t>Walmsley</w:t>
      </w:r>
      <w:proofErr w:type="spellEnd"/>
    </w:p>
    <w:p w:rsidR="00DC52A2" w:rsidRDefault="00DC52A2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Performance Report</w:t>
      </w:r>
      <w:r w:rsidR="009E59F0">
        <w:rPr>
          <w:rFonts w:cs="Arial"/>
          <w:sz w:val="22"/>
          <w:szCs w:val="22"/>
        </w:rPr>
        <w:t xml:space="preserve"> for Quarter Ended March 31, 2014</w:t>
      </w:r>
    </w:p>
    <w:p w:rsidR="004F249A" w:rsidRDefault="00F815D8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Flash Performance Review</w:t>
      </w:r>
      <w:r w:rsidR="00F524B0">
        <w:rPr>
          <w:rFonts w:cs="Arial"/>
          <w:sz w:val="22"/>
          <w:szCs w:val="22"/>
        </w:rPr>
        <w:t xml:space="preserve"> </w:t>
      </w:r>
    </w:p>
    <w:p w:rsidR="00DC52A2" w:rsidRPr="00DC52A2" w:rsidRDefault="00DC52A2" w:rsidP="00DC52A2">
      <w:pPr>
        <w:tabs>
          <w:tab w:val="left" w:pos="1425"/>
        </w:tabs>
        <w:rPr>
          <w:rFonts w:cs="Arial"/>
          <w:sz w:val="22"/>
          <w:szCs w:val="22"/>
        </w:rPr>
      </w:pPr>
    </w:p>
    <w:p w:rsidR="00673EA4" w:rsidRPr="00445171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Linn)</w:t>
      </w:r>
    </w:p>
    <w:p w:rsidR="00690A0B" w:rsidRDefault="006A175D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a. </w:t>
      </w:r>
      <w:r>
        <w:rPr>
          <w:rFonts w:cs="Arial"/>
          <w:sz w:val="22"/>
          <w:szCs w:val="22"/>
        </w:rPr>
        <w:tab/>
        <w:t xml:space="preserve">Rules of Decorum </w:t>
      </w:r>
      <w:bookmarkStart w:id="1" w:name="_GoBack"/>
      <w:bookmarkEnd w:id="1"/>
    </w:p>
    <w:p w:rsidR="006A175D" w:rsidRPr="00A35236" w:rsidRDefault="006A175D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0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A1309D" w:rsidRDefault="00583C04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Review of draft </w:t>
      </w:r>
      <w:r w:rsidR="00A1309D">
        <w:rPr>
          <w:rFonts w:cs="Arial"/>
          <w:sz w:val="22"/>
          <w:szCs w:val="22"/>
        </w:rPr>
        <w:t xml:space="preserve">October 1, 2013 Actuarial Valuation </w:t>
      </w:r>
      <w:r>
        <w:rPr>
          <w:rFonts w:cs="Arial"/>
          <w:sz w:val="22"/>
          <w:szCs w:val="22"/>
        </w:rPr>
        <w:t>report</w:t>
      </w:r>
      <w:r w:rsidR="00A1309D">
        <w:rPr>
          <w:rFonts w:cs="Arial"/>
          <w:sz w:val="22"/>
          <w:szCs w:val="22"/>
        </w:rPr>
        <w:t xml:space="preserve"> </w:t>
      </w:r>
      <w:r w:rsidR="00FF6FFE">
        <w:rPr>
          <w:rFonts w:cs="Arial"/>
          <w:sz w:val="22"/>
          <w:szCs w:val="22"/>
        </w:rPr>
        <w:t xml:space="preserve">(Jeff </w:t>
      </w:r>
      <w:proofErr w:type="spellStart"/>
      <w:r w:rsidR="00FF6FFE">
        <w:rPr>
          <w:rFonts w:cs="Arial"/>
          <w:sz w:val="22"/>
          <w:szCs w:val="22"/>
        </w:rPr>
        <w:t>Amrose</w:t>
      </w:r>
      <w:proofErr w:type="spellEnd"/>
      <w:r w:rsidR="00FF6FFE">
        <w:rPr>
          <w:rFonts w:cs="Arial"/>
          <w:sz w:val="22"/>
          <w:szCs w:val="22"/>
        </w:rPr>
        <w:t xml:space="preserve"> and Trisha </w:t>
      </w:r>
      <w:proofErr w:type="spellStart"/>
      <w:r w:rsidR="00FF6FFE">
        <w:rPr>
          <w:rFonts w:cs="Arial"/>
          <w:sz w:val="22"/>
          <w:szCs w:val="22"/>
        </w:rPr>
        <w:t>Amrose</w:t>
      </w:r>
      <w:proofErr w:type="spellEnd"/>
      <w:r w:rsidR="00FF6FFE">
        <w:rPr>
          <w:rFonts w:cs="Arial"/>
          <w:sz w:val="22"/>
          <w:szCs w:val="22"/>
        </w:rPr>
        <w:t>, Gabriel, Roeder, Smith &amp; Co.)</w:t>
      </w:r>
    </w:p>
    <w:p w:rsidR="00BC682D" w:rsidRDefault="00FF6FFE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 w:rsidRPr="00BC682D">
        <w:rPr>
          <w:rFonts w:cs="Arial"/>
          <w:sz w:val="22"/>
          <w:szCs w:val="22"/>
        </w:rPr>
        <w:t xml:space="preserve">Supplemental Benefit </w:t>
      </w:r>
      <w:r w:rsidR="00471751" w:rsidRPr="00BC682D">
        <w:rPr>
          <w:rFonts w:cs="Arial"/>
          <w:sz w:val="22"/>
          <w:szCs w:val="22"/>
        </w:rPr>
        <w:t>Rep</w:t>
      </w:r>
      <w:r w:rsidR="00DC52A2" w:rsidRPr="00BC682D">
        <w:rPr>
          <w:rFonts w:cs="Arial"/>
          <w:sz w:val="22"/>
          <w:szCs w:val="22"/>
        </w:rPr>
        <w:t xml:space="preserve">ayment </w:t>
      </w:r>
    </w:p>
    <w:p w:rsidR="00471751" w:rsidRPr="00BC682D" w:rsidRDefault="00471751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 w:rsidRPr="00BC682D">
        <w:rPr>
          <w:rFonts w:cs="Arial"/>
          <w:sz w:val="22"/>
          <w:szCs w:val="22"/>
        </w:rPr>
        <w:t>PowerPoint presentation regarding Ordinance O-2014-02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04" w:rsidRDefault="00583C04">
      <w:r>
        <w:separator/>
      </w:r>
    </w:p>
  </w:endnote>
  <w:endnote w:type="continuationSeparator" w:id="0">
    <w:p w:rsidR="00583C04" w:rsidRDefault="0058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4" w:rsidRPr="0010004D" w:rsidRDefault="00583C04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583C04" w:rsidRPr="00862578" w:rsidRDefault="00583C04" w:rsidP="00964150">
    <w:pPr>
      <w:tabs>
        <w:tab w:val="left" w:pos="684"/>
        <w:tab w:val="left" w:pos="1083"/>
      </w:tabs>
      <w:jc w:val="both"/>
      <w:rPr>
        <w:sz w:val="20"/>
      </w:rPr>
    </w:pPr>
  </w:p>
  <w:p w:rsidR="00583C04" w:rsidRPr="0010004D" w:rsidRDefault="00583C04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583C04" w:rsidRPr="00862578" w:rsidRDefault="00583C04" w:rsidP="00964150">
    <w:pPr>
      <w:tabs>
        <w:tab w:val="left" w:pos="684"/>
        <w:tab w:val="left" w:pos="1083"/>
      </w:tabs>
      <w:jc w:val="both"/>
      <w:rPr>
        <w:sz w:val="20"/>
      </w:rPr>
    </w:pPr>
  </w:p>
  <w:p w:rsidR="00583C04" w:rsidRPr="0010004D" w:rsidRDefault="00583C04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04" w:rsidRDefault="00583C04">
      <w:r>
        <w:separator/>
      </w:r>
    </w:p>
  </w:footnote>
  <w:footnote w:type="continuationSeparator" w:id="0">
    <w:p w:rsidR="00583C04" w:rsidRDefault="0058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8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3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7"/>
  </w:num>
  <w:num w:numId="5">
    <w:abstractNumId w:val="22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23"/>
  </w:num>
  <w:num w:numId="26">
    <w:abstractNumId w:val="28"/>
  </w:num>
  <w:num w:numId="27">
    <w:abstractNumId w:val="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05E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3CFD"/>
    <w:rsid w:val="00234BAA"/>
    <w:rsid w:val="00235C4F"/>
    <w:rsid w:val="002378EB"/>
    <w:rsid w:val="00240974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1751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3C04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175D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0A0C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1979"/>
    <w:rsid w:val="009E3716"/>
    <w:rsid w:val="009E59F0"/>
    <w:rsid w:val="009E68A7"/>
    <w:rsid w:val="00A00CBC"/>
    <w:rsid w:val="00A06209"/>
    <w:rsid w:val="00A06BDC"/>
    <w:rsid w:val="00A12A16"/>
    <w:rsid w:val="00A1309D"/>
    <w:rsid w:val="00A21F49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558B"/>
    <w:rsid w:val="00B96D6A"/>
    <w:rsid w:val="00B979FF"/>
    <w:rsid w:val="00BA5B3B"/>
    <w:rsid w:val="00BB2004"/>
    <w:rsid w:val="00BB437E"/>
    <w:rsid w:val="00BC5B19"/>
    <w:rsid w:val="00BC682D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7DC4"/>
    <w:rsid w:val="00DC2562"/>
    <w:rsid w:val="00DC451E"/>
    <w:rsid w:val="00DC52A2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765F0"/>
    <w:rsid w:val="00E83BC3"/>
    <w:rsid w:val="00E84F1C"/>
    <w:rsid w:val="00E852DB"/>
    <w:rsid w:val="00E87515"/>
    <w:rsid w:val="00EA350C"/>
    <w:rsid w:val="00EA4EBC"/>
    <w:rsid w:val="00EB2FB6"/>
    <w:rsid w:val="00EC0976"/>
    <w:rsid w:val="00EC5297"/>
    <w:rsid w:val="00EC714D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6FF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10</cp:revision>
  <cp:lastPrinted>2014-05-12T20:39:00Z</cp:lastPrinted>
  <dcterms:created xsi:type="dcterms:W3CDTF">2014-04-25T17:04:00Z</dcterms:created>
  <dcterms:modified xsi:type="dcterms:W3CDTF">2014-05-14T13:51:00Z</dcterms:modified>
</cp:coreProperties>
</file>